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რკინა-ბეტონის კონსტრუქციებზე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ტენდერს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A64152">
        <w:rPr>
          <w:rFonts w:ascii="Sylfaen" w:hAnsi="Sylfaen"/>
          <w:sz w:val="16"/>
          <w:szCs w:val="16"/>
          <w:lang w:val="ka-GE" w:bidi="en-US"/>
        </w:rPr>
        <w:t>პროდუქციის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განხორციელდება ეტაპობრივად</w:t>
      </w:r>
      <w:r w:rsidR="00F903EE">
        <w:rPr>
          <w:rFonts w:ascii="Sylfaen" w:hAnsi="Sylfaen"/>
          <w:sz w:val="16"/>
          <w:szCs w:val="16"/>
          <w:lang w:val="ka-GE" w:bidi="en-US"/>
        </w:rPr>
        <w:t>,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971A8">
        <w:rPr>
          <w:rFonts w:ascii="Sylfaen" w:hAnsi="Sylfaen"/>
          <w:sz w:val="16"/>
          <w:szCs w:val="16"/>
          <w:lang w:val="ka-GE" w:bidi="en-US"/>
        </w:rPr>
        <w:t xml:space="preserve">საჭიროების მიხედვით </w:t>
      </w:r>
      <w:r w:rsidR="006E7A33">
        <w:rPr>
          <w:rFonts w:ascii="Sylfaen" w:hAnsi="Sylfaen"/>
          <w:sz w:val="16"/>
          <w:szCs w:val="16"/>
          <w:lang w:val="ka-GE" w:bidi="en-US"/>
        </w:rPr>
        <w:t>1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(ერთი)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წლის განმავლობაში. </w:t>
      </w:r>
    </w:p>
    <w:p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ნახაზები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ნახაზებში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E57873" w:rsidRDefault="00A64152" w:rsidP="00A64152">
            <w:pPr>
              <w:pStyle w:val="06"/>
              <w:rPr>
                <w:lang w:val="ka-GE"/>
              </w:rPr>
            </w:pPr>
            <w:r>
              <w:t>2022</w:t>
            </w:r>
            <w:r w:rsidR="00857F16">
              <w:t>/</w:t>
            </w:r>
            <w:r w:rsidR="00E57873">
              <w:t>0</w:t>
            </w:r>
            <w:r w:rsidR="00E57873">
              <w:rPr>
                <w:lang w:val="ka-GE"/>
              </w:rPr>
              <w:t>5</w:t>
            </w:r>
          </w:p>
        </w:tc>
      </w:tr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AF0CC1" w:rsidRDefault="00A64152" w:rsidP="00E57873">
            <w:pPr>
              <w:pStyle w:val="06"/>
              <w:rPr>
                <w:lang w:val="ka-GE"/>
              </w:rPr>
            </w:pPr>
            <w:r>
              <w:t>2022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r w:rsidR="00271F75" w:rsidRPr="00AF0CC1">
              <w:rPr>
                <w:lang w:val="ka-GE"/>
              </w:rPr>
              <w:t xml:space="preserve"> </w:t>
            </w:r>
            <w:r w:rsidR="00E971A8">
              <w:rPr>
                <w:lang w:val="ka-GE"/>
              </w:rPr>
              <w:t>1</w:t>
            </w:r>
            <w:r w:rsidR="00E57873">
              <w:rPr>
                <w:lang w:val="ka-GE"/>
              </w:rPr>
              <w:t>1</w:t>
            </w:r>
            <w:bookmarkStart w:id="0" w:name="_GoBack"/>
            <w:bookmarkEnd w:id="0"/>
            <w:r w:rsidR="00E971A8">
              <w:rPr>
                <w:lang w:val="ka-GE"/>
              </w:rPr>
              <w:t xml:space="preserve"> </w:t>
            </w:r>
            <w:proofErr w:type="spellStart"/>
            <w:r>
              <w:t>თებერვლის</w:t>
            </w:r>
            <w:proofErr w:type="spellEnd"/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:rsidTr="002A1687"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000EE3">
        <w:trPr>
          <w:trHeight w:val="278"/>
        </w:trPr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 xml:space="preserve">CD </w:t>
            </w:r>
            <w:proofErr w:type="spellStart"/>
            <w:r w:rsidR="00857F16">
              <w:t>დისკზე</w:t>
            </w:r>
            <w:proofErr w:type="spellEnd"/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E37257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E971A8"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57" w:rsidRDefault="00E37257" w:rsidP="009F0F15">
      <w:pPr>
        <w:spacing w:after="0" w:line="240" w:lineRule="auto"/>
      </w:pPr>
      <w:r>
        <w:separator/>
      </w:r>
    </w:p>
  </w:endnote>
  <w:endnote w:type="continuationSeparator" w:id="0">
    <w:p w:rsidR="00E37257" w:rsidRDefault="00E37257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57" w:rsidRDefault="00E37257" w:rsidP="009F0F15">
      <w:pPr>
        <w:spacing w:after="0" w:line="240" w:lineRule="auto"/>
      </w:pPr>
      <w:r>
        <w:separator/>
      </w:r>
    </w:p>
  </w:footnote>
  <w:footnote w:type="continuationSeparator" w:id="0">
    <w:p w:rsidR="00E37257" w:rsidRDefault="00E37257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487C6C13" wp14:editId="684AF1E3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3B4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52C2C"/>
    <w:rsid w:val="00555B18"/>
    <w:rsid w:val="00556353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37257"/>
    <w:rsid w:val="00E5717C"/>
    <w:rsid w:val="00E57873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FF9-CA23-4F0F-98C1-39F2D2E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5</cp:revision>
  <cp:lastPrinted>2012-07-18T15:13:00Z</cp:lastPrinted>
  <dcterms:created xsi:type="dcterms:W3CDTF">2022-01-24T09:23:00Z</dcterms:created>
  <dcterms:modified xsi:type="dcterms:W3CDTF">2022-01-28T07:39:00Z</dcterms:modified>
</cp:coreProperties>
</file>